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ЗАЩИТА ПРАВ И ДОСТОИНСТВА РЕБЁНКА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5895975" cy="4667250"/>
            <wp:effectExtent l="0" t="0" r="9525" b="0"/>
            <wp:docPr id="38" name="Рисунок 38" descr="http://dou1-glowworm.do.am/2012-2014/2016/prava_dete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-glowworm.do.am/2012-2014/2016/prava_detej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Защита прав и достоинства ребёнка в семье</w:t>
      </w:r>
      <w:proofErr w:type="gramStart"/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br/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П</w:t>
      </w:r>
      <w:proofErr w:type="gramEnd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оскольку ребенок воспитывается в семье, сразу вопрос: «Что такое семья?».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 xml:space="preserve">«Семья — группа живущих вместе родственников; объединение людей, сплоченных общими интересами. (Толковый словарь </w:t>
      </w:r>
      <w:proofErr w:type="spellStart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С.И.Ожегова</w:t>
      </w:r>
      <w:proofErr w:type="spellEnd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 xml:space="preserve"> и Н.Ю. Шведова).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br/>
        <w:t>Ценность семьи как важнейшего института воспитания и социализации детей никогда не вызывала сомнений. То, что несет в </w:t>
      </w:r>
      <w:r w:rsidRPr="00521EE3">
        <w:rPr>
          <w:rFonts w:ascii="Tahoma" w:eastAsia="Times New Roman" w:hAnsi="Tahoma" w:cs="Tahoma"/>
          <w:i/>
          <w:iCs/>
          <w:color w:val="000080"/>
          <w:sz w:val="30"/>
          <w:szCs w:val="30"/>
          <w:lang w:eastAsia="ru-RU"/>
        </w:rPr>
        <w:t>себе семья, 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 xml:space="preserve">невозможно заменить ничем. Истинные духовные ценности </w:t>
      </w:r>
      <w:proofErr w:type="gramStart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человека</w:t>
      </w:r>
      <w:proofErr w:type="gramEnd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 xml:space="preserve"> возможно сохранить только в семье, а передать их, только через детей.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br/>
        <w:t xml:space="preserve">Дошкольное детство — уникальный период в жизни человека, в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lastRenderedPageBreak/>
        <w:t>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br/>
        <w:t xml:space="preserve">Проблема эта условно рассматривается в двух направлениях: в </w:t>
      </w:r>
      <w:proofErr w:type="gramStart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социально-правовом</w:t>
      </w:r>
      <w:proofErr w:type="gramEnd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 xml:space="preserve"> и психолого-педагогическом.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b/>
          <w:bCs/>
          <w:i/>
          <w:iCs/>
          <w:color w:val="0000CD"/>
          <w:sz w:val="30"/>
          <w:szCs w:val="30"/>
          <w:lang w:eastAsia="ru-RU"/>
        </w:rPr>
        <w:t>Социально-правовое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 направление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b/>
          <w:bCs/>
          <w:i/>
          <w:iCs/>
          <w:color w:val="0000CD"/>
          <w:sz w:val="30"/>
          <w:szCs w:val="30"/>
          <w:lang w:eastAsia="ru-RU"/>
        </w:rPr>
        <w:t>Психолого-педагогическое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 направление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Нормативные основы защиты прав детства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К основным международным документам ЮНИСЕФ, касающимся прав детей относятся: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– Декларация прав ребенка (1959)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br/>
        <w:t>– Конвенция ООН о правах ребенка (1989)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br/>
        <w:t>– Всемирная декларация об обеспечении выживания, защиты и развития детей (1990)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721069" cy="1247775"/>
            <wp:effectExtent l="0" t="0" r="0" b="0"/>
            <wp:docPr id="37" name="Рисунок 37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69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b/>
          <w:bCs/>
          <w:i/>
          <w:iCs/>
          <w:color w:val="FF0000"/>
          <w:sz w:val="30"/>
          <w:szCs w:val="30"/>
          <w:lang w:eastAsia="ru-RU"/>
        </w:rPr>
        <w:t>Декларация прав ребенка</w:t>
      </w:r>
      <w:r w:rsidRPr="00521EE3">
        <w:rPr>
          <w:rFonts w:ascii="Tahoma" w:eastAsia="Times New Roman" w:hAnsi="Tahoma" w:cs="Tahoma"/>
          <w:b/>
          <w:bCs/>
          <w:i/>
          <w:iCs/>
          <w:color w:val="000080"/>
          <w:sz w:val="30"/>
          <w:szCs w:val="30"/>
          <w:lang w:eastAsia="ru-RU"/>
        </w:rPr>
        <w:t>  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является первым международным документом. В 10 принципах, изложенных в Декларации, провозглашаются </w:t>
      </w:r>
      <w:hyperlink r:id="rId8" w:history="1">
        <w:r w:rsidRPr="00521EE3">
          <w:rPr>
            <w:rFonts w:ascii="Tahoma" w:eastAsia="Times New Roman" w:hAnsi="Tahoma" w:cs="Tahoma"/>
            <w:color w:val="000080"/>
            <w:sz w:val="21"/>
            <w:szCs w:val="21"/>
            <w:u w:val="single"/>
            <w:lang w:eastAsia="ru-RU"/>
          </w:rPr>
          <w:t>права детей</w:t>
        </w:r>
      </w:hyperlink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lastRenderedPageBreak/>
        <w:t>Особое внимание в Декларации уделяется </w:t>
      </w:r>
      <w:r w:rsidRPr="00521EE3">
        <w:rPr>
          <w:rFonts w:ascii="Tahoma" w:eastAsia="Times New Roman" w:hAnsi="Tahoma" w:cs="Tahoma"/>
          <w:color w:val="000080"/>
          <w:sz w:val="30"/>
          <w:szCs w:val="30"/>
          <w:u w:val="single"/>
          <w:lang w:eastAsia="ru-RU"/>
        </w:rPr>
        <w:t>защите ребенка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. На основе Декларации прав ребенка был разработан международный документ </w:t>
      </w:r>
      <w:r w:rsidRPr="00521EE3">
        <w:rPr>
          <w:rFonts w:ascii="Tahoma" w:eastAsia="Times New Roman" w:hAnsi="Tahoma" w:cs="Tahoma"/>
          <w:b/>
          <w:bCs/>
          <w:i/>
          <w:iCs/>
          <w:color w:val="000080"/>
          <w:sz w:val="30"/>
          <w:szCs w:val="30"/>
          <w:lang w:eastAsia="ru-RU"/>
        </w:rPr>
        <w:t>– </w:t>
      </w:r>
      <w:r w:rsidRPr="00521EE3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Конвенция о правах ребенка</w:t>
      </w:r>
      <w:r w:rsidRPr="00521EE3">
        <w:rPr>
          <w:rFonts w:ascii="Tahoma" w:eastAsia="Times New Roman" w:hAnsi="Tahoma" w:cs="Tahoma"/>
          <w:color w:val="FF0000"/>
          <w:sz w:val="30"/>
          <w:szCs w:val="30"/>
          <w:lang w:eastAsia="ru-RU"/>
        </w:rPr>
        <w:t>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Конвенция о правах ребенка 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33637" cy="590550"/>
            <wp:effectExtent l="0" t="0" r="0" b="0"/>
            <wp:docPr id="36" name="Рисунок 36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37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 на воспитание;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628650" cy="585902"/>
            <wp:effectExtent l="0" t="0" r="0" b="5080"/>
            <wp:docPr id="35" name="Рисунок 35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 на развитие;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483341A3" wp14:editId="7169E822">
            <wp:extent cx="628650" cy="585902"/>
            <wp:effectExtent l="0" t="0" r="0" b="5080"/>
            <wp:docPr id="40" name="Рисунок 40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 на защиту;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483341A3" wp14:editId="7169E822">
            <wp:extent cx="628650" cy="585902"/>
            <wp:effectExtent l="0" t="0" r="0" b="5080"/>
            <wp:docPr id="41" name="Рисунок 41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 на активное участие в жизни общества.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 wp14:anchorId="1C7590D5" wp14:editId="6541F718">
            <wp:extent cx="1721069" cy="1247775"/>
            <wp:effectExtent l="0" t="0" r="0" b="0"/>
            <wp:docPr id="42" name="Рисунок 42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69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  <w:r w:rsidRPr="00521EE3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Семейный Кодекс РФ</w:t>
      </w:r>
      <w:r w:rsidRPr="00521EE3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b/>
          <w:bCs/>
          <w:i/>
          <w:iCs/>
          <w:color w:val="000080"/>
          <w:sz w:val="21"/>
          <w:szCs w:val="21"/>
          <w:lang w:eastAsia="ru-RU"/>
        </w:rPr>
        <w:t>– </w:t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документ, регулирующий правовые вопросы семейных отношений на основе действующей Конституции РФ и нового гражданского законодательства.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Раздел IV Семейного Кодекса РФ целиком посвящен правам и обязанностям родителей и детей. Особый интерес представляют глава 11 «Права несовершеннолетних детей» и глава 12 «Права и обязанности родителей».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В целях «создания правовых, социально-экономических условий для реализации прав и законных интересов ребенка», предусмотренных Конституцией РФ, принят </w:t>
      </w:r>
      <w:r w:rsidRPr="00521EE3">
        <w:rPr>
          <w:rFonts w:ascii="Tahoma" w:eastAsia="Times New Roman" w:hAnsi="Tahoma" w:cs="Tahoma"/>
          <w:b/>
          <w:bCs/>
          <w:i/>
          <w:iCs/>
          <w:color w:val="FF0000"/>
          <w:sz w:val="30"/>
          <w:szCs w:val="30"/>
          <w:lang w:eastAsia="ru-RU"/>
        </w:rPr>
        <w:t>ФЗ «Об основных гарантиях прав ребенка в Российской Федерации»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. 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дети с отклонениями в 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семьи).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 wp14:anchorId="1C7590D5" wp14:editId="6541F718">
            <wp:extent cx="1721069" cy="1247775"/>
            <wp:effectExtent l="0" t="0" r="0" b="0"/>
            <wp:docPr id="43" name="Рисунок 43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69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b/>
          <w:bCs/>
          <w:i/>
          <w:iCs/>
          <w:color w:val="FF0000"/>
          <w:sz w:val="30"/>
          <w:szCs w:val="30"/>
          <w:lang w:eastAsia="ru-RU"/>
        </w:rPr>
        <w:t>Конвенция ООН о правах ребенка</w:t>
      </w:r>
      <w:r w:rsidRPr="00521EE3">
        <w:rPr>
          <w:rFonts w:ascii="Tahoma" w:eastAsia="Times New Roman" w:hAnsi="Tahoma" w:cs="Tahoma"/>
          <w:b/>
          <w:bCs/>
          <w:i/>
          <w:iCs/>
          <w:color w:val="000080"/>
          <w:sz w:val="30"/>
          <w:szCs w:val="30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дает определение понятия «жестокое обращение» и определяет меры защиты (ст. 19), а также устанавливает: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обеспечение в максимально возможной степени здорового развития ребенка (ст. 6);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обеспечение мер по борьбе с болезнями и недоеданием (ст. 24);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lastRenderedPageBreak/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защиту ребенка от сексуального посягательства (ст. 34);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защиту ребенка от других форм жестокого обращения (ст. 37);</w:t>
      </w:r>
    </w:p>
    <w:p w:rsidR="00521EE3" w:rsidRPr="00521EE3" w:rsidRDefault="00521EE3" w:rsidP="00521EE3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меры помощи ребенку, явившемуся жертвой жестокого обращения (ст. 39).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 wp14:anchorId="1C7590D5" wp14:editId="6541F718">
            <wp:extent cx="1037897" cy="752475"/>
            <wp:effectExtent l="0" t="0" r="0" b="0"/>
            <wp:docPr id="44" name="Рисунок 44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9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Уголовный кодекс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000080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предусматривает ответственность: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 xml:space="preserve">за совершение физического и сексуального насилия, в </w:t>
      </w:r>
      <w:proofErr w:type="spellStart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т.ч</w:t>
      </w:r>
      <w:proofErr w:type="spellEnd"/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. и в отношении несовершеннолетних (ст. 106 – 136);</w:t>
      </w:r>
    </w:p>
    <w:p w:rsidR="00521EE3" w:rsidRPr="00521EE3" w:rsidRDefault="00521EE3" w:rsidP="00521EE3">
      <w:pPr>
        <w:numPr>
          <w:ilvl w:val="0"/>
          <w:numId w:val="2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за преступление против семьи и несовершеннолетних (ст. 150 – 157).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255B06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 wp14:anchorId="2C6B7489" wp14:editId="31627E6B">
            <wp:extent cx="1037897" cy="752475"/>
            <wp:effectExtent l="0" t="0" r="0" b="0"/>
            <wp:docPr id="56" name="Рисунок 56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9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Семейный Кодекс РФ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000080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гарантирует: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право ребенка на уважение его человеческого достоинства (ст. 54);</w:t>
      </w:r>
    </w:p>
    <w:p w:rsidR="00521EE3" w:rsidRPr="00521EE3" w:rsidRDefault="00521EE3" w:rsidP="00521EE3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право ребенка на защиту и обязанности органа опеки и попечительства принять меры по защите ребенка (ст. 56);</w:t>
      </w:r>
    </w:p>
    <w:p w:rsidR="00521EE3" w:rsidRPr="00521EE3" w:rsidRDefault="00521EE3" w:rsidP="00521EE3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меру «лишение родительских прав» как меру защиты детей от жестокого обращения с ними в семье (ст. 69);</w:t>
      </w:r>
    </w:p>
    <w:p w:rsidR="00521EE3" w:rsidRPr="00521EE3" w:rsidRDefault="00521EE3" w:rsidP="00521EE3">
      <w:pPr>
        <w:numPr>
          <w:ilvl w:val="0"/>
          <w:numId w:val="3"/>
        </w:numPr>
        <w:shd w:val="clear" w:color="auto" w:fill="FFFFFF"/>
        <w:spacing w:after="15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30"/>
          <w:szCs w:val="30"/>
          <w:lang w:eastAsia="ru-RU"/>
        </w:rPr>
        <w:t>немедленное отбирание ребенка при непосредственной угрозе жизни и здоровью (сит. 77).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8" name="Рисунок 28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109239" cy="752475"/>
            <wp:effectExtent l="0" t="0" r="0" b="0"/>
            <wp:docPr id="27" name="Рисунок 27" descr="http://dou1-glowworm.do.am/2016-6/1/raskrytaja_kn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-glowworm.do.am/2016-6/1/raskrytaja_knig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9239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Закон «Об образовании» </w:t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 xml:space="preserve">утверждает право детей, облучающихся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</w:t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lastRenderedPageBreak/>
        <w:t>психическое «насилие над личностью обучающегося или воспитанника» (ст. 56).</w:t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br/>
        <w:t>В помощь семье и воспитанию детей дошкольного возраста, охране и укреплении их здоровья, развитию индивидуальных особенностей и необходимой коррекции нарушений развития действует сеть дошкольных образовательных учреждений.</w:t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ДОУ в своей деятельности руководствуется федеральными законами, указами и распоряжениями Президента РФ, Типовым положением о дошкольном образовательном учреждении и другими постановлениями и распоряжениями Правительства РФ, решениями соответствующего органа управления образованием.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 wp14:anchorId="66734034" wp14:editId="6E730851">
            <wp:extent cx="589722" cy="400050"/>
            <wp:effectExtent l="0" t="0" r="1270" b="0"/>
            <wp:docPr id="46" name="Рисунок 46" descr="http://dou1-glowworm.do.am/2016-6/1/raskrytaja_kn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-glowworm.do.am/2016-6/1/raskrytaja_knig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2038" cy="40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 xml:space="preserve">Приказ Министерства образования и науки РФ от 8 апреля 2014 г №293 "Об утверждении Порядка приёма на </w:t>
      </w:r>
      <w:proofErr w:type="gramStart"/>
      <w:r w:rsidR="00521EE3" w:rsidRPr="00521EE3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обучение по</w:t>
      </w:r>
      <w:proofErr w:type="gramEnd"/>
      <w:r w:rsidR="00521EE3" w:rsidRPr="00521EE3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 xml:space="preserve"> образовательным программам дошкольного образования"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, 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который издан во исполнение ст. 55 Федерального закона от 29.12.2012 № 273-ФЗ "Об образовании". Данный приказ утверждает Порядок приема на обучение в детские сады.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555555"/>
          <w:sz w:val="21"/>
          <w:szCs w:val="21"/>
          <w:lang w:eastAsia="ru-RU"/>
        </w:rPr>
        <w:drawing>
          <wp:inline distT="0" distB="0" distL="0" distR="0" wp14:anchorId="66734034" wp14:editId="6E730851">
            <wp:extent cx="547599" cy="371475"/>
            <wp:effectExtent l="0" t="0" r="5080" b="0"/>
            <wp:docPr id="47" name="Рисунок 47" descr="http://dou1-glowworm.do.am/2016-6/1/raskrytaja_kn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-glowworm.do.am/2016-6/1/raskrytaja_knig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9749" cy="37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Устав ДОУ 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– нормативный документ, в котором представлены права и обязанности всех участников образовательного процесса: детей, педагогов, родителей.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br/>
        <w:t>Конвенция о правах ребенка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="00521EE3" w:rsidRPr="00521EE3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007540" cy="2124075"/>
            <wp:effectExtent l="0" t="0" r="2540" b="0"/>
            <wp:docPr id="24" name="Рисунок 24" descr="http://dou1-glowworm.do.am/2016-6/prava_rebenk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1-glowworm.do.am/2016-6/prava_rebenka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4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56FBEB78" wp14:editId="198545F8">
            <wp:extent cx="3003410" cy="2121158"/>
            <wp:effectExtent l="0" t="0" r="6985" b="0"/>
            <wp:docPr id="23" name="Рисунок 23" descr="http://dou1-glowworm.do.am/2016-6/prava_reben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u1-glowworm.do.am/2016-6/prava_rebenka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48" cy="212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3009900" cy="2125742"/>
            <wp:effectExtent l="0" t="0" r="0" b="8255"/>
            <wp:docPr id="22" name="Рисунок 22" descr="http://dou1-glowworm.do.am/2016-6/prava_reben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u1-glowworm.do.am/2016-6/prava_rebenka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51" cy="212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696054BC" wp14:editId="2F9FA20A">
            <wp:extent cx="3009900" cy="2124075"/>
            <wp:effectExtent l="0" t="0" r="0" b="9525"/>
            <wp:docPr id="21" name="Рисунок 21" descr="http://dou1-glowworm.do.am/2016-6/prava_rebenk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u1-glowworm.do.am/2016-6/prava_rebenka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000375" cy="2125266"/>
            <wp:effectExtent l="0" t="0" r="0" b="8890"/>
            <wp:docPr id="20" name="Рисунок 20" descr="http://dou1-glowworm.do.am/2016-6/prava_reben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u1-glowworm.do.am/2016-6/prava_rebenka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80" cy="212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226DEE1F" wp14:editId="6E54EEBB">
            <wp:extent cx="2962275" cy="2124075"/>
            <wp:effectExtent l="0" t="0" r="9525" b="9525"/>
            <wp:docPr id="19" name="Рисунок 19" descr="http://dou1-glowworm.do.am/2016-6/prava_rebenk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u1-glowworm.do.am/2016-6/prava_rebenka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70" cy="213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057525" cy="1933575"/>
            <wp:effectExtent l="0" t="0" r="9525" b="9525"/>
            <wp:docPr id="18" name="Рисунок 18" descr="http://dou1-glowworm.do.am/2016-6/prava_rebenk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ou1-glowworm.do.am/2016-6/prava_rebenka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02" cy="193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5894D5A8" wp14:editId="60D56E8A">
            <wp:extent cx="2867025" cy="1929529"/>
            <wp:effectExtent l="0" t="0" r="0" b="0"/>
            <wp:docPr id="17" name="Рисунок 17" descr="http://dou1-glowworm.do.am/2016-6/prava_rebenk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ou1-glowworm.do.am/2016-6/prava_rebenka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27" cy="19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000375" cy="1990725"/>
            <wp:effectExtent l="0" t="0" r="9525" b="9525"/>
            <wp:docPr id="16" name="Рисунок 16" descr="http://dou1-glowworm.do.am/2016-6/prava_reben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ou1-glowworm.do.am/2016-6/prava_rebenka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70572C3A" wp14:editId="5B489CA3">
            <wp:extent cx="2924175" cy="2024837"/>
            <wp:effectExtent l="0" t="0" r="0" b="0"/>
            <wp:docPr id="15" name="Рисунок 15" descr="http://dou1-glowworm.do.am/2016-6/prava_reben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ou1-glowworm.do.am/2016-6/prava_rebenka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31" cy="202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001386" cy="2119729"/>
            <wp:effectExtent l="0" t="0" r="8890" b="0"/>
            <wp:docPr id="14" name="Рисунок 14" descr="http://dou1-glowworm.do.am/2016-6/prava_rebe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ou1-glowworm.do.am/2016-6/prava_rebenka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386" cy="211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3D77A8B3" wp14:editId="328FAC67">
            <wp:extent cx="2993042" cy="2113835"/>
            <wp:effectExtent l="0" t="0" r="0" b="1270"/>
            <wp:docPr id="13" name="Рисунок 13" descr="http://dou1-glowworm.do.am/2016-6/prava_rebe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ou1-glowworm.do.am/2016-6/prava_rebenka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94" cy="211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ind w:left="-567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032695" cy="3419475"/>
            <wp:effectExtent l="0" t="0" r="0" b="0"/>
            <wp:docPr id="12" name="Рисунок 12" descr="http://dou1-glowworm.do.am/2012-2014/2016/prava_roditele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ou1-glowworm.do.am/2012-2014/2016/prava_roditelej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69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Правовая основа защиты прав ребенка в ДОУ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В настоящее время система нормативного обеспечения прав детей достаточно полно представлена в документах международ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softHyphen/>
        <w:t>ного права, нормативно-правовыми актами на федеральном и региональном уровнях.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Основным правовым документом, защищающим ребенка от жесткого обращения, является </w:t>
      </w:r>
      <w:r w:rsidRPr="00521EE3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Конвенция ООН о правах ребенка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, которая </w:t>
      </w:r>
      <w:r w:rsidRPr="00521EE3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устанавливает: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521EE3" w:rsidRPr="00624217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65F91" w:themeColor="accent1" w:themeShade="BF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419100" cy="399455"/>
            <wp:effectExtent l="0" t="0" r="0" b="635"/>
            <wp:docPr id="11" name="Рисунок 11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624217">
        <w:rPr>
          <w:rFonts w:ascii="Tahoma" w:eastAsia="Times New Roman" w:hAnsi="Tahoma" w:cs="Tahoma"/>
          <w:color w:val="365F91" w:themeColor="accent1" w:themeShade="BF"/>
          <w:sz w:val="27"/>
          <w:szCs w:val="27"/>
          <w:lang w:eastAsia="ru-RU"/>
        </w:rPr>
        <w:t>обеспечение в максимально возможной степени здорового развития ребенка (ст. 6);</w:t>
      </w:r>
    </w:p>
    <w:p w:rsidR="00521EE3" w:rsidRPr="00521EE3" w:rsidRDefault="00521EE3" w:rsidP="0062421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1E0B4489" wp14:editId="3150F10B">
            <wp:extent cx="419100" cy="399455"/>
            <wp:effectExtent l="0" t="0" r="0" b="635"/>
            <wp:docPr id="48" name="Рисунок 48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521EE3" w:rsidRPr="00521EE3" w:rsidRDefault="00521EE3" w:rsidP="0062421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5E957D9E" wp14:editId="28010F1C">
            <wp:extent cx="419100" cy="399455"/>
            <wp:effectExtent l="0" t="0" r="0" b="635"/>
            <wp:docPr id="49" name="Рисунок 49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обеспечение мер по борьбе с болезнями и недоеданием (ст. 24);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0E2BAF3F" wp14:editId="3CEEC320">
            <wp:extent cx="419100" cy="399455"/>
            <wp:effectExtent l="0" t="0" r="0" b="635"/>
            <wp:docPr id="50" name="Рисунок 50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27);</w:t>
      </w:r>
    </w:p>
    <w:p w:rsidR="00521EE3" w:rsidRPr="00521EE3" w:rsidRDefault="00521EE3" w:rsidP="0062421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61B0D6EE" wp14:editId="58324DD6">
            <wp:extent cx="419100" cy="399455"/>
            <wp:effectExtent l="0" t="0" r="0" b="635"/>
            <wp:docPr id="51" name="Рисунок 51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защиту ребенка от сексуального посягательства (ст. 34);</w:t>
      </w:r>
    </w:p>
    <w:p w:rsidR="00521EE3" w:rsidRPr="00521EE3" w:rsidRDefault="00521EE3" w:rsidP="0062421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7EEAF988" wp14:editId="1773E1A0">
            <wp:extent cx="419100" cy="399455"/>
            <wp:effectExtent l="0" t="0" r="0" b="635"/>
            <wp:docPr id="52" name="Рисунок 52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защиту ребенка от других форм жестокого обращения (ст. 37);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  <w:r w:rsidR="00624217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77B393B4" wp14:editId="3F364D69">
            <wp:extent cx="419100" cy="399455"/>
            <wp:effectExtent l="0" t="0" r="0" b="635"/>
            <wp:docPr id="53" name="Рисунок 53" descr="http://dou1-glowworm.do.am/2016-6/1/krasnaja_gal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ou1-glowworm.do.am/2016-6/1/krasnaja_galochk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0" cy="4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меры помощи ребенку, явившемуся жертвой жестокого обращения (ст. 39)[4].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43857" cy="600075"/>
            <wp:effectExtent l="0" t="0" r="4445" b="0"/>
            <wp:docPr id="4" name="Рисунок 4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7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21EE3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Уголовный Кодекс РФ предусматривает ответственность: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numPr>
          <w:ilvl w:val="0"/>
          <w:numId w:val="4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за совершение физического и сексуального насилия, в том числе и в отношении несовершеннолетних (ст. 106-136);</w:t>
      </w:r>
    </w:p>
    <w:p w:rsidR="00521EE3" w:rsidRPr="00521EE3" w:rsidRDefault="00521EE3" w:rsidP="00521EE3">
      <w:pPr>
        <w:numPr>
          <w:ilvl w:val="0"/>
          <w:numId w:val="4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за преступление против семьи и несовершеннолетних (ст. 150-157).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 wp14:anchorId="656E77EF" wp14:editId="59FBE9B5">
            <wp:extent cx="643857" cy="600075"/>
            <wp:effectExtent l="0" t="0" r="4445" b="0"/>
            <wp:docPr id="54" name="Рисунок 54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7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Семейный Кодекс РФ</w:t>
      </w:r>
      <w:r w:rsidR="00521EE3"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  <w:r w:rsidR="00521EE3" w:rsidRPr="00521EE3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гарантирует: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numPr>
          <w:ilvl w:val="0"/>
          <w:numId w:val="5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право ребенка на уважение его человеческого достоинства (ст. 54);</w:t>
      </w:r>
    </w:p>
    <w:p w:rsidR="00521EE3" w:rsidRPr="00521EE3" w:rsidRDefault="00521EE3" w:rsidP="00521EE3">
      <w:pPr>
        <w:numPr>
          <w:ilvl w:val="0"/>
          <w:numId w:val="5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право ребенка на защиту и обязанности органа опеки и попечительства принять меры по защите ребенка (ст. 56);</w:t>
      </w:r>
    </w:p>
    <w:p w:rsidR="00521EE3" w:rsidRPr="00521EE3" w:rsidRDefault="00521EE3" w:rsidP="00521EE3">
      <w:pPr>
        <w:numPr>
          <w:ilvl w:val="0"/>
          <w:numId w:val="5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меру «лишение родителей родительских прав» как меру защиты детей от жестокого обращения с ними в семье (ст. 69);</w:t>
      </w:r>
    </w:p>
    <w:p w:rsidR="00521EE3" w:rsidRPr="00521EE3" w:rsidRDefault="00521EE3" w:rsidP="00521EE3">
      <w:pPr>
        <w:numPr>
          <w:ilvl w:val="0"/>
          <w:numId w:val="5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немедленное отобрание ребенка при непосредственной угрозе жизни и здоровью (ст. 77).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</w:t>
      </w:r>
    </w:p>
    <w:p w:rsidR="00521EE3" w:rsidRPr="00521EE3" w:rsidRDefault="00624217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56E77EF" wp14:editId="59FBE9B5">
            <wp:extent cx="643857" cy="600075"/>
            <wp:effectExtent l="0" t="0" r="4445" b="0"/>
            <wp:docPr id="55" name="Рисунок 55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7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EE3"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521EE3" w:rsidRPr="00521EE3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Закон РФ «Об образовании» утверждает: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1E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1EE3" w:rsidRPr="00521EE3" w:rsidRDefault="00521EE3" w:rsidP="00521EE3">
      <w:pPr>
        <w:numPr>
          <w:ilvl w:val="0"/>
          <w:numId w:val="6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право детей, обучающихся во всех образовательных учреждениях, на «уважение их человеческого достоинства» (ст. 5);</w:t>
      </w:r>
    </w:p>
    <w:p w:rsidR="00521EE3" w:rsidRPr="00521EE3" w:rsidRDefault="00521EE3" w:rsidP="00521EE3">
      <w:pPr>
        <w:numPr>
          <w:ilvl w:val="0"/>
          <w:numId w:val="6"/>
        </w:numPr>
        <w:shd w:val="clear" w:color="auto" w:fill="FFFFFF"/>
        <w:spacing w:after="150" w:line="312" w:lineRule="atLeast"/>
        <w:ind w:left="0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предусматривает административное наказание педагогических работников за допущенное физическое или психическое «насилие над личностью обучающегося или воспитанника» (ст. 56).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 Закон РФ «О защите прав детей» гласит: «жестокое обращение с детьми, физическое и психологическое насилие над ними запрещены» (ст. 14).</w:t>
      </w:r>
    </w:p>
    <w:p w:rsidR="00521EE3" w:rsidRPr="00521EE3" w:rsidRDefault="00521EE3" w:rsidP="00521EE3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521EE3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В Уставе ДОУ представлены права и обязанности всех участников образовательного процесса: детей, педагогов, родителей. В соответствии с Уставом дошкольное образовательное учреждение обеспечивает права каждого ребенка в сфере образования и воспитания.</w:t>
      </w:r>
    </w:p>
    <w:p w:rsidR="00521EE3" w:rsidRPr="00521EE3" w:rsidRDefault="00521EE3" w:rsidP="00521E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362200" cy="2571750"/>
            <wp:effectExtent l="0" t="0" r="0" b="0"/>
            <wp:docPr id="1" name="Рисунок 1" descr="http://dou1-glowworm.do.am/2016-6/06-2016/deti_v_ladonja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dou1-glowworm.do.am/2016-6/06-2016/deti_v_ladonjakh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22" w:rsidRDefault="00955222"/>
    <w:sectPr w:rsidR="00955222" w:rsidSect="00624217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00546"/>
    <w:multiLevelType w:val="multilevel"/>
    <w:tmpl w:val="E37ED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3772F"/>
    <w:multiLevelType w:val="multilevel"/>
    <w:tmpl w:val="0FF45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910D5"/>
    <w:multiLevelType w:val="multilevel"/>
    <w:tmpl w:val="BCEC48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D6969"/>
    <w:multiLevelType w:val="multilevel"/>
    <w:tmpl w:val="714C0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53C90"/>
    <w:multiLevelType w:val="multilevel"/>
    <w:tmpl w:val="5D5281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40A23"/>
    <w:multiLevelType w:val="multilevel"/>
    <w:tmpl w:val="3AE250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E3"/>
    <w:rsid w:val="00255B06"/>
    <w:rsid w:val="00521EE3"/>
    <w:rsid w:val="00624217"/>
    <w:rsid w:val="00955222"/>
    <w:rsid w:val="00A2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EE3"/>
    <w:rPr>
      <w:b/>
      <w:bCs/>
    </w:rPr>
  </w:style>
  <w:style w:type="character" w:styleId="a5">
    <w:name w:val="Emphasis"/>
    <w:basedOn w:val="a0"/>
    <w:uiPriority w:val="20"/>
    <w:qFormat/>
    <w:rsid w:val="00521EE3"/>
    <w:rPr>
      <w:i/>
      <w:iCs/>
    </w:rPr>
  </w:style>
  <w:style w:type="character" w:styleId="a6">
    <w:name w:val="Hyperlink"/>
    <w:basedOn w:val="a0"/>
    <w:uiPriority w:val="99"/>
    <w:semiHidden/>
    <w:unhideWhenUsed/>
    <w:rsid w:val="00521E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1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1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EE3"/>
    <w:rPr>
      <w:b/>
      <w:bCs/>
    </w:rPr>
  </w:style>
  <w:style w:type="character" w:styleId="a5">
    <w:name w:val="Emphasis"/>
    <w:basedOn w:val="a0"/>
    <w:uiPriority w:val="20"/>
    <w:qFormat/>
    <w:rsid w:val="00521EE3"/>
    <w:rPr>
      <w:i/>
      <w:iCs/>
    </w:rPr>
  </w:style>
  <w:style w:type="character" w:styleId="a6">
    <w:name w:val="Hyperlink"/>
    <w:basedOn w:val="a0"/>
    <w:uiPriority w:val="99"/>
    <w:semiHidden/>
    <w:unhideWhenUsed/>
    <w:rsid w:val="00521E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1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1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5.edu.yar.ru/prava_detey.html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3</cp:revision>
  <dcterms:created xsi:type="dcterms:W3CDTF">2020-03-06T18:19:00Z</dcterms:created>
  <dcterms:modified xsi:type="dcterms:W3CDTF">2020-03-06T18:51:00Z</dcterms:modified>
</cp:coreProperties>
</file>